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66" w:rsidRDefault="00C80E66">
      <w:r>
        <w:t>Here is a look at the data sets for the Lan Exam</w:t>
      </w:r>
    </w:p>
    <w:p w:rsidR="00C80E66" w:rsidRDefault="00C80E66" w:rsidP="00C80E66">
      <w:pPr>
        <w:rPr>
          <w:b/>
          <w:sz w:val="24"/>
          <w:szCs w:val="24"/>
        </w:rPr>
      </w:pPr>
      <w:r w:rsidRPr="004A0082">
        <w:rPr>
          <w:b/>
          <w:sz w:val="24"/>
          <w:szCs w:val="24"/>
        </w:rPr>
        <w:t>The Story</w:t>
      </w:r>
    </w:p>
    <w:p w:rsidR="00C80E66" w:rsidRPr="004A0082" w:rsidRDefault="00C80E66" w:rsidP="00C80E66">
      <w:pPr>
        <w:rPr>
          <w:b/>
          <w:sz w:val="24"/>
          <w:szCs w:val="24"/>
        </w:rPr>
      </w:pPr>
    </w:p>
    <w:p w:rsidR="00C80E66" w:rsidRPr="00EB49FC" w:rsidRDefault="00C80E66" w:rsidP="00C80E66">
      <w:pPr>
        <w:rPr>
          <w:b/>
          <w:i/>
          <w:sz w:val="24"/>
          <w:szCs w:val="24"/>
        </w:rPr>
      </w:pPr>
      <w:r w:rsidRPr="004A0082">
        <w:rPr>
          <w:sz w:val="24"/>
          <w:szCs w:val="24"/>
        </w:rPr>
        <w:tab/>
        <w:t>You've been hired as the data analyst for a series of studies exploring the effectiveness of "Treatment X" (</w:t>
      </w:r>
      <w:proofErr w:type="spellStart"/>
      <w:r w:rsidRPr="004A0082">
        <w:rPr>
          <w:sz w:val="24"/>
          <w:szCs w:val="24"/>
        </w:rPr>
        <w:t>TxX</w:t>
      </w:r>
      <w:proofErr w:type="spellEnd"/>
      <w:r w:rsidRPr="004A0082">
        <w:rPr>
          <w:sz w:val="24"/>
          <w:szCs w:val="24"/>
        </w:rPr>
        <w:t>) which is designed to ameliorate depressive symptomology.  For all studies the outcome variable (DV) is the Mental Health Index (MHI -- higher scores are "better").  Analyze the data from each study and answer</w:t>
      </w:r>
      <w:r>
        <w:rPr>
          <w:sz w:val="24"/>
          <w:szCs w:val="24"/>
        </w:rPr>
        <w:t xml:space="preserve"> the</w:t>
      </w:r>
      <w:r w:rsidRPr="004A0082">
        <w:rPr>
          <w:sz w:val="24"/>
          <w:szCs w:val="24"/>
        </w:rPr>
        <w:t xml:space="preserve"> questions that are asked.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D</w:t>
      </w:r>
      <w:r w:rsidRPr="00EB49FC">
        <w:rPr>
          <w:b/>
          <w:i/>
          <w:sz w:val="24"/>
          <w:szCs w:val="24"/>
        </w:rPr>
        <w:t>o not provide a complete “results section” for each anal</w:t>
      </w:r>
      <w:r>
        <w:rPr>
          <w:b/>
          <w:i/>
          <w:sz w:val="24"/>
          <w:szCs w:val="24"/>
        </w:rPr>
        <w:t>ysis, just answer the questions!!</w:t>
      </w:r>
    </w:p>
    <w:p w:rsidR="00C80E66" w:rsidRDefault="00C80E66"/>
    <w:p w:rsidR="00C80E66" w:rsidRDefault="00C80E66">
      <w:r>
        <w:t>Study 1</w:t>
      </w:r>
    </w:p>
    <w:p w:rsidR="00C80E66" w:rsidRPr="00C80E66" w:rsidRDefault="00C80E66" w:rsidP="00C80E66">
      <w:pPr>
        <w:rPr>
          <w:b/>
        </w:rPr>
      </w:pPr>
      <w:r w:rsidRPr="009A42CB">
        <w:rPr>
          <w:b/>
        </w:rPr>
        <w:t>Study #1 (10 points)</w:t>
      </w:r>
    </w:p>
    <w:p w:rsidR="00C80E66" w:rsidRDefault="00C80E66" w:rsidP="00C80E66">
      <w:r>
        <w:t>Moderately depressed adult participants</w:t>
      </w:r>
      <w:r w:rsidRPr="009A42CB">
        <w:t xml:space="preserve"> </w:t>
      </w:r>
      <w:r>
        <w:t xml:space="preserve">were randomly assigned to receive either weekly sessions of the new </w:t>
      </w:r>
      <w:proofErr w:type="spellStart"/>
      <w:r>
        <w:t>TxX</w:t>
      </w:r>
      <w:proofErr w:type="spellEnd"/>
      <w:r>
        <w:t xml:space="preserve"> therapy or be in a no-treatment control.  Four months later, depression was measures from all participants using the MHI.</w:t>
      </w:r>
    </w:p>
    <w:p w:rsidR="00C80E66" w:rsidRDefault="00C80E66">
      <w:r>
        <w:rPr>
          <w:noProof/>
        </w:rPr>
        <w:drawing>
          <wp:inline distT="0" distB="0" distL="0" distR="0" wp14:anchorId="7043E980" wp14:editId="44867D4C">
            <wp:extent cx="3848100" cy="24149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161" cy="24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/>
    <w:p w:rsidR="00C80E66" w:rsidRDefault="00C80E66">
      <w:r>
        <w:rPr>
          <w:noProof/>
        </w:rPr>
        <w:drawing>
          <wp:inline distT="0" distB="0" distL="0" distR="0" wp14:anchorId="77642FB2" wp14:editId="44D86024">
            <wp:extent cx="2209800" cy="22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170" cy="230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>
      <w:r>
        <w:br w:type="page"/>
      </w:r>
    </w:p>
    <w:p w:rsidR="00C80E66" w:rsidRDefault="00C80E66">
      <w:r>
        <w:lastRenderedPageBreak/>
        <w:t>Study 2</w:t>
      </w:r>
    </w:p>
    <w:p w:rsidR="00C80E66" w:rsidRDefault="00C80E66"/>
    <w:p w:rsidR="00C80E66" w:rsidRPr="00C80E66" w:rsidRDefault="00C80E66" w:rsidP="00C80E66">
      <w:pPr>
        <w:rPr>
          <w:b/>
          <w:sz w:val="18"/>
          <w:szCs w:val="18"/>
        </w:rPr>
      </w:pPr>
      <w:r>
        <w:rPr>
          <w:b/>
        </w:rPr>
        <w:t>Study #2</w:t>
      </w:r>
      <w:r w:rsidRPr="009A42CB">
        <w:rPr>
          <w:b/>
        </w:rPr>
        <w:t xml:space="preserve"> (20 points)</w:t>
      </w:r>
    </w:p>
    <w:p w:rsidR="00C80E66" w:rsidRDefault="00C80E66" w:rsidP="00C80E66">
      <w:r>
        <w:t xml:space="preserve">To compare </w:t>
      </w:r>
      <w:proofErr w:type="spellStart"/>
      <w:r>
        <w:t>TxX</w:t>
      </w:r>
      <w:proofErr w:type="spellEnd"/>
      <w:r>
        <w:t xml:space="preserve"> to other available treatments of depression, moderately depressed adolescent participants were randomly assigned to receive twice-weekly sessions of either </w:t>
      </w:r>
      <w:proofErr w:type="spellStart"/>
      <w:r>
        <w:t>TxX</w:t>
      </w:r>
      <w:proofErr w:type="spellEnd"/>
      <w:r>
        <w:t xml:space="preserve">, </w:t>
      </w:r>
      <w:r w:rsidRPr="009A42CB">
        <w:t>standard Cognitive-Behavioral Therapy (CBT)</w:t>
      </w:r>
      <w:r>
        <w:t xml:space="preserve">, </w:t>
      </w:r>
      <w:proofErr w:type="spellStart"/>
      <w:r>
        <w:t>Cogno</w:t>
      </w:r>
      <w:proofErr w:type="spellEnd"/>
      <w:r>
        <w:t xml:space="preserve">-Affective Therapy (CAT), or Peer-Based Counseling (PBC). After 2 months of treatment, all participants were assessed for depression using the MHI. </w:t>
      </w:r>
    </w:p>
    <w:p w:rsidR="00C80E66" w:rsidRDefault="00C80E66">
      <w:r>
        <w:rPr>
          <w:noProof/>
        </w:rPr>
        <w:drawing>
          <wp:inline distT="0" distB="0" distL="0" distR="0" wp14:anchorId="08829E45" wp14:editId="3634A44F">
            <wp:extent cx="5943600" cy="3688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/>
    <w:p w:rsidR="00C80E66" w:rsidRDefault="00C80E66">
      <w:r>
        <w:rPr>
          <w:noProof/>
        </w:rPr>
        <w:drawing>
          <wp:inline distT="0" distB="0" distL="0" distR="0" wp14:anchorId="48F0001F" wp14:editId="18F25964">
            <wp:extent cx="3019425" cy="3048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80E66" w:rsidRDefault="00C80E66">
      <w:r>
        <w:lastRenderedPageBreak/>
        <w:br w:type="page"/>
      </w:r>
    </w:p>
    <w:p w:rsidR="00C80E66" w:rsidRDefault="00C80E66">
      <w:r>
        <w:lastRenderedPageBreak/>
        <w:t>Study 3</w:t>
      </w:r>
    </w:p>
    <w:p w:rsidR="00C80E66" w:rsidRPr="009A42CB" w:rsidRDefault="00C80E66" w:rsidP="00C80E66">
      <w:pPr>
        <w:rPr>
          <w:b/>
        </w:rPr>
      </w:pPr>
      <w:r>
        <w:rPr>
          <w:b/>
        </w:rPr>
        <w:t>Study #3</w:t>
      </w:r>
      <w:r w:rsidRPr="009A42CB">
        <w:rPr>
          <w:b/>
        </w:rPr>
        <w:t xml:space="preserve"> (20 points)</w:t>
      </w:r>
    </w:p>
    <w:p w:rsidR="00C80E66" w:rsidRDefault="00C80E66" w:rsidP="00C80E66">
      <w:r w:rsidRPr="009A42CB">
        <w:tab/>
      </w:r>
      <w:r>
        <w:t xml:space="preserve">The next </w:t>
      </w:r>
      <w:r w:rsidRPr="009A42CB">
        <w:t xml:space="preserve">study was designed to examine the time-course of treatment response </w:t>
      </w:r>
      <w:r>
        <w:t xml:space="preserve">of moderately depressed adult patients </w:t>
      </w:r>
      <w:r w:rsidRPr="009A42CB">
        <w:t xml:space="preserve">to </w:t>
      </w:r>
      <w:proofErr w:type="spellStart"/>
      <w:r>
        <w:t>TxX</w:t>
      </w:r>
      <w:proofErr w:type="spellEnd"/>
      <w:r>
        <w:t>.  Each patient underwent</w:t>
      </w:r>
      <w:r w:rsidRPr="009A42CB">
        <w:t xml:space="preserve"> four months of treatment with </w:t>
      </w:r>
      <w:proofErr w:type="spellStart"/>
      <w:r w:rsidRPr="009A42CB">
        <w:t>TxX</w:t>
      </w:r>
      <w:proofErr w:type="spellEnd"/>
      <w:r w:rsidRPr="009A42CB">
        <w:t xml:space="preserve"> and completed the MHI </w:t>
      </w:r>
      <w:r>
        <w:t xml:space="preserve">before the first treatment session and </w:t>
      </w:r>
      <w:r w:rsidRPr="009A42CB">
        <w:t>at the end of each month</w:t>
      </w:r>
    </w:p>
    <w:p w:rsidR="00C80E66" w:rsidRDefault="00C80E66" w:rsidP="00C80E66">
      <w:r>
        <w:rPr>
          <w:noProof/>
        </w:rPr>
        <w:drawing>
          <wp:inline distT="0" distB="0" distL="0" distR="0" wp14:anchorId="2712F5E4" wp14:editId="79DE087C">
            <wp:extent cx="6553200" cy="2371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 w:rsidP="00C80E66"/>
    <w:p w:rsidR="00C80E66" w:rsidRDefault="00C80E66" w:rsidP="00C80E66">
      <w:r>
        <w:rPr>
          <w:noProof/>
        </w:rPr>
        <w:drawing>
          <wp:inline distT="0" distB="0" distL="0" distR="0" wp14:anchorId="1B231480" wp14:editId="521F921F">
            <wp:extent cx="5753100" cy="255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>
      <w:r>
        <w:br w:type="page"/>
      </w:r>
    </w:p>
    <w:p w:rsidR="00C80E66" w:rsidRDefault="00C80E66" w:rsidP="00C80E66">
      <w:r>
        <w:lastRenderedPageBreak/>
        <w:t>Study 4</w:t>
      </w:r>
    </w:p>
    <w:p w:rsidR="00C80E66" w:rsidRPr="009A42CB" w:rsidRDefault="00C80E66" w:rsidP="00C80E66">
      <w:pPr>
        <w:rPr>
          <w:b/>
        </w:rPr>
      </w:pPr>
      <w:r>
        <w:rPr>
          <w:b/>
        </w:rPr>
        <w:t>Study #4 (25</w:t>
      </w:r>
      <w:r w:rsidRPr="009A42CB">
        <w:rPr>
          <w:b/>
        </w:rPr>
        <w:t xml:space="preserve"> points)</w:t>
      </w:r>
    </w:p>
    <w:p w:rsidR="00C80E66" w:rsidRPr="009A42CB" w:rsidRDefault="00C80E66" w:rsidP="00C80E66">
      <w:r w:rsidRPr="009A42CB">
        <w:tab/>
        <w:t xml:space="preserve">The next study was designed to consider whether </w:t>
      </w:r>
      <w:proofErr w:type="spellStart"/>
      <w:r w:rsidRPr="009A42CB">
        <w:t>TxX</w:t>
      </w:r>
      <w:proofErr w:type="spellEnd"/>
      <w:r w:rsidRPr="009A42CB">
        <w:t xml:space="preserve"> worked equally effectively for patients with differing amounts</w:t>
      </w:r>
      <w:r>
        <w:t xml:space="preserve"> of initial depression.  Adult p</w:t>
      </w:r>
      <w:r w:rsidRPr="009A42CB">
        <w:t>atien</w:t>
      </w:r>
      <w:r>
        <w:t xml:space="preserve">ts were identified who were "moderately" or </w:t>
      </w:r>
      <w:r w:rsidRPr="009A42CB">
        <w:t>"se</w:t>
      </w:r>
      <w:r>
        <w:t>verely" depressed.  Members</w:t>
      </w:r>
      <w:r w:rsidRPr="009A42CB">
        <w:t xml:space="preserve"> of each group were randomly assigned to receive 4</w:t>
      </w:r>
      <w:r>
        <w:t xml:space="preserve"> </w:t>
      </w:r>
      <w:r w:rsidRPr="009A42CB">
        <w:t xml:space="preserve">months of </w:t>
      </w:r>
      <w:proofErr w:type="spellStart"/>
      <w:r w:rsidRPr="009A42CB">
        <w:t>TxX</w:t>
      </w:r>
      <w:proofErr w:type="spellEnd"/>
      <w:r>
        <w:t>,</w:t>
      </w:r>
      <w:r w:rsidRPr="009A42CB">
        <w:t xml:space="preserve"> </w:t>
      </w:r>
      <w:r>
        <w:t>or</w:t>
      </w:r>
      <w:r w:rsidRPr="009A42CB">
        <w:t xml:space="preserve"> receive no treatment.  </w:t>
      </w:r>
      <w:r>
        <w:t>MHI data were collected after 4 months of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4574"/>
      </w:tblGrid>
      <w:tr w:rsidR="00C80E66" w:rsidTr="00C80E66">
        <w:tc>
          <w:tcPr>
            <w:tcW w:w="5395" w:type="dxa"/>
          </w:tcPr>
          <w:p w:rsidR="00C80E66" w:rsidRDefault="00C80E66" w:rsidP="00C80E66">
            <w:r>
              <w:rPr>
                <w:noProof/>
              </w:rPr>
              <w:drawing>
                <wp:inline distT="0" distB="0" distL="0" distR="0" wp14:anchorId="548FDEFA" wp14:editId="4AB79E38">
                  <wp:extent cx="3810000" cy="2243602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648" cy="226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80E66" w:rsidRDefault="00C80E66" w:rsidP="00C80E66">
            <w:pPr>
              <w:rPr>
                <w:noProof/>
              </w:rPr>
            </w:pPr>
          </w:p>
          <w:p w:rsidR="00C80E66" w:rsidRDefault="00C80E66" w:rsidP="00C80E66"/>
          <w:p w:rsidR="00C80E66" w:rsidRDefault="00C80E66" w:rsidP="00C80E66"/>
          <w:p w:rsidR="00C80E66" w:rsidRDefault="00C80E66" w:rsidP="00C80E66"/>
          <w:p w:rsidR="00C80E66" w:rsidRDefault="00C80E66" w:rsidP="00C80E66"/>
          <w:p w:rsidR="00C80E66" w:rsidRDefault="00C80E66" w:rsidP="00C80E66"/>
          <w:p w:rsidR="00C80E66" w:rsidRDefault="00C80E66" w:rsidP="00C80E66">
            <w:r>
              <w:rPr>
                <w:noProof/>
              </w:rPr>
              <w:drawing>
                <wp:inline distT="0" distB="0" distL="0" distR="0" wp14:anchorId="7E331FF9" wp14:editId="0A5E99F5">
                  <wp:extent cx="2400300" cy="10317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91" cy="105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E66" w:rsidRDefault="00C80E66" w:rsidP="00C80E66"/>
    <w:p w:rsidR="00C80E66" w:rsidRDefault="00C80E66" w:rsidP="00C80E66">
      <w:r>
        <w:rPr>
          <w:noProof/>
        </w:rPr>
        <w:drawing>
          <wp:inline distT="0" distB="0" distL="0" distR="0" wp14:anchorId="76A6D5F1" wp14:editId="68493F3D">
            <wp:extent cx="3800475" cy="2505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>
      <w:r>
        <w:br w:type="page"/>
      </w:r>
    </w:p>
    <w:p w:rsidR="00C80E66" w:rsidRDefault="00C80E66" w:rsidP="00C80E66">
      <w:r>
        <w:lastRenderedPageBreak/>
        <w:t>Study 5</w:t>
      </w:r>
    </w:p>
    <w:p w:rsidR="00C80E66" w:rsidRPr="009A42CB" w:rsidRDefault="00C80E66" w:rsidP="00C80E66">
      <w:pPr>
        <w:rPr>
          <w:b/>
        </w:rPr>
      </w:pPr>
      <w:r>
        <w:rPr>
          <w:b/>
        </w:rPr>
        <w:t>Study #5 (25</w:t>
      </w:r>
      <w:r w:rsidRPr="009A42CB">
        <w:rPr>
          <w:b/>
        </w:rPr>
        <w:t xml:space="preserve"> points)</w:t>
      </w:r>
    </w:p>
    <w:p w:rsidR="00C80E66" w:rsidRDefault="00C80E66" w:rsidP="00C80E66">
      <w:r w:rsidRPr="009A42CB">
        <w:rPr>
          <w:b/>
        </w:rPr>
        <w:tab/>
      </w:r>
      <w:r w:rsidRPr="009A42CB">
        <w:t>This study</w:t>
      </w:r>
      <w:r>
        <w:t xml:space="preserve"> </w:t>
      </w:r>
      <w:r w:rsidRPr="009A42CB">
        <w:t xml:space="preserve">was designed to compare the time-course of </w:t>
      </w:r>
      <w:proofErr w:type="spellStart"/>
      <w:r w:rsidRPr="009A42CB">
        <w:t>TxX</w:t>
      </w:r>
      <w:proofErr w:type="spellEnd"/>
      <w:r w:rsidRPr="009A42CB">
        <w:t xml:space="preserve"> and CBT</w:t>
      </w:r>
      <w:r>
        <w:t xml:space="preserve">. </w:t>
      </w:r>
      <w:proofErr w:type="gramStart"/>
      <w:r>
        <w:t>Adolescent  patients</w:t>
      </w:r>
      <w:proofErr w:type="gramEnd"/>
      <w:r>
        <w:t xml:space="preserve"> were randomly assigned to the type of treatment they would </w:t>
      </w:r>
      <w:proofErr w:type="spellStart"/>
      <w:r>
        <w:t>received</w:t>
      </w:r>
      <w:proofErr w:type="spellEnd"/>
      <w:r>
        <w:t>. MHI data were collected at 4 and again at 8 months after treatment</w:t>
      </w:r>
    </w:p>
    <w:p w:rsidR="00C80E66" w:rsidRDefault="00C80E66" w:rsidP="00C80E66">
      <w:r>
        <w:rPr>
          <w:noProof/>
        </w:rPr>
        <w:drawing>
          <wp:inline distT="0" distB="0" distL="0" distR="0" wp14:anchorId="4CA2CC41" wp14:editId="5C22C6B6">
            <wp:extent cx="5819775" cy="33035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8457" cy="330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66" w:rsidRDefault="00C80E66" w:rsidP="00C80E66"/>
    <w:p w:rsidR="00C80E66" w:rsidRDefault="00C80E66" w:rsidP="00C80E66">
      <w:r>
        <w:rPr>
          <w:noProof/>
        </w:rPr>
        <w:drawing>
          <wp:inline distT="0" distB="0" distL="0" distR="0" wp14:anchorId="263D3C01" wp14:editId="5198EAFA">
            <wp:extent cx="4314825" cy="3057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E66" w:rsidRDefault="00C80E66" w:rsidP="00C80E66"/>
    <w:p w:rsidR="00C80E66" w:rsidRDefault="00C80E66" w:rsidP="00C80E66"/>
    <w:p w:rsidR="00C80E66" w:rsidRDefault="00C80E66" w:rsidP="00C80E66"/>
    <w:sectPr w:rsidR="00C80E66" w:rsidSect="00C80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66"/>
    <w:rsid w:val="00C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5B29"/>
  <w15:chartTrackingRefBased/>
  <w15:docId w15:val="{CC323FCE-B00C-4267-8708-09599B3F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Garbin</dc:creator>
  <cp:keywords/>
  <dc:description/>
  <cp:lastModifiedBy>Calvin Garbin</cp:lastModifiedBy>
  <cp:revision>1</cp:revision>
  <dcterms:created xsi:type="dcterms:W3CDTF">2022-10-05T13:42:00Z</dcterms:created>
  <dcterms:modified xsi:type="dcterms:W3CDTF">2022-10-05T13:53:00Z</dcterms:modified>
</cp:coreProperties>
</file>